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62" w:rsidRPr="00304314" w:rsidRDefault="00F30C6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</w:p>
    <w:p w:rsidR="00F30C62" w:rsidRPr="00304314" w:rsidRDefault="004833C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4314"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1E724C8" wp14:editId="6B7ABA96">
            <wp:simplePos x="0" y="0"/>
            <wp:positionH relativeFrom="page">
              <wp:posOffset>3482975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30C62" w:rsidRPr="00304314" w:rsidRDefault="00F30C6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30C62" w:rsidRPr="00304314" w:rsidRDefault="004833CC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ОБРАЗОВАНИЕ</w:t>
      </w:r>
    </w:p>
    <w:p w:rsidR="00F30C62" w:rsidRPr="00304314" w:rsidRDefault="004833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ХАНТЫ-МАНСИЙСКИЙ РАЙОН </w:t>
      </w:r>
    </w:p>
    <w:p w:rsidR="00F30C62" w:rsidRPr="00304314" w:rsidRDefault="004833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Ханты-Мансийский автономный округ – Югра</w:t>
      </w:r>
    </w:p>
    <w:p w:rsidR="00F30C62" w:rsidRPr="00304314" w:rsidRDefault="00F30C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4833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ХАНТЫ-МАНСИЙСКОГО РАЙОНА</w:t>
      </w:r>
    </w:p>
    <w:p w:rsidR="00F30C62" w:rsidRPr="00304314" w:rsidRDefault="00F30C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0C62" w:rsidRPr="00304314" w:rsidRDefault="004833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30C62" w:rsidRPr="00304314" w:rsidRDefault="00F30C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4833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                                                                                                              № ____</w:t>
      </w:r>
    </w:p>
    <w:p w:rsidR="00F30C62" w:rsidRPr="00304314" w:rsidRDefault="004833C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043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Ханты-Мансийск</w:t>
      </w:r>
    </w:p>
    <w:p w:rsidR="00F30C62" w:rsidRPr="00304314" w:rsidRDefault="00F30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30C62" w:rsidRPr="00304314" w:rsidRDefault="00F30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F30C62" w:rsidRPr="00304314" w:rsidRDefault="004833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Calibri"/>
          <w:sz w:val="28"/>
          <w:szCs w:val="28"/>
          <w:lang w:eastAsia="ru-RU"/>
        </w:rPr>
        <w:t>О внесении изменений в постановление</w:t>
      </w:r>
    </w:p>
    <w:p w:rsidR="00F30C62" w:rsidRPr="00304314" w:rsidRDefault="004833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Ханты-Мансийского</w:t>
      </w:r>
    </w:p>
    <w:p w:rsidR="00F30C62" w:rsidRPr="00304314" w:rsidRDefault="004833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от 28.12.2024 № 1192</w:t>
      </w:r>
    </w:p>
    <w:p w:rsidR="00F30C62" w:rsidRPr="00304314" w:rsidRDefault="004833CC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муниципальной программе</w:t>
      </w:r>
    </w:p>
    <w:p w:rsidR="00F30C62" w:rsidRPr="00304314" w:rsidRDefault="004833CC">
      <w:pPr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 </w:t>
      </w:r>
    </w:p>
    <w:p w:rsidR="00F30C62" w:rsidRPr="00304314" w:rsidRDefault="00483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гражданского общества </w:t>
      </w:r>
    </w:p>
    <w:p w:rsidR="00F30C62" w:rsidRPr="00304314" w:rsidRDefault="004833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района» </w:t>
      </w:r>
    </w:p>
    <w:p w:rsidR="00F30C62" w:rsidRPr="00304314" w:rsidRDefault="00F30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F30C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4833CC">
      <w:pPr>
        <w:widowControl w:val="0"/>
        <w:tabs>
          <w:tab w:val="left" w:pos="1276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муниципальных правовых актов </w:t>
      </w: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F30C62" w:rsidRPr="00304314" w:rsidRDefault="00F30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4833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Ханты-Мансийского района от 28.12.2024 № 1192 «О муниципальной программе </w:t>
      </w: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района «Развитие гражданского общества </w:t>
      </w: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Ханты-Мансийского района» изменения, изложив приложение к нему в новой редакции согласно приложению к настоящему постановлению.</w:t>
      </w:r>
    </w:p>
    <w:p w:rsidR="00F30C62" w:rsidRPr="00304314" w:rsidRDefault="004833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F30C62" w:rsidRPr="00304314" w:rsidRDefault="00F30C62">
      <w:pPr>
        <w:rPr>
          <w:rFonts w:ascii="Times New Roman" w:eastAsia="Calibri" w:hAnsi="Times New Roman" w:cs="Times New Roman"/>
          <w:sz w:val="28"/>
          <w:szCs w:val="28"/>
        </w:rPr>
      </w:pPr>
    </w:p>
    <w:p w:rsidR="00F30C62" w:rsidRPr="00304314" w:rsidRDefault="00F30C62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C62" w:rsidRPr="00304314" w:rsidRDefault="004833C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Ханты-Мансийского района                                              К.Р. </w:t>
      </w:r>
      <w:proofErr w:type="spellStart"/>
      <w:r w:rsidRPr="0030431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Минулин</w:t>
      </w:r>
      <w:proofErr w:type="spellEnd"/>
    </w:p>
    <w:p w:rsidR="00F30C62" w:rsidRPr="00304314" w:rsidRDefault="00F30C62">
      <w:pPr>
        <w:pStyle w:val="ab"/>
      </w:pPr>
    </w:p>
    <w:p w:rsidR="00F30C62" w:rsidRPr="00304314" w:rsidRDefault="00F30C62">
      <w:pPr>
        <w:pStyle w:val="ab"/>
      </w:pPr>
    </w:p>
    <w:p w:rsidR="00F30C62" w:rsidRPr="00304314" w:rsidRDefault="00F30C62">
      <w:pPr>
        <w:pStyle w:val="ab"/>
      </w:pPr>
    </w:p>
    <w:p w:rsidR="00F30C62" w:rsidRPr="00304314" w:rsidRDefault="00F30C62">
      <w:pPr>
        <w:pStyle w:val="ab"/>
      </w:pPr>
    </w:p>
    <w:p w:rsidR="00F30C62" w:rsidRPr="00304314" w:rsidRDefault="00F30C62">
      <w:pPr>
        <w:pStyle w:val="ab"/>
        <w:sectPr w:rsidR="00F30C62" w:rsidRPr="00304314">
          <w:headerReference w:type="default" r:id="rId8"/>
          <w:footerReference w:type="even" r:id="rId9"/>
          <w:pgSz w:w="11906" w:h="16838"/>
          <w:pgMar w:top="1276" w:right="1134" w:bottom="1559" w:left="1418" w:header="567" w:footer="567" w:gutter="0"/>
          <w:cols w:space="708"/>
          <w:titlePg/>
          <w:docGrid w:linePitch="360"/>
        </w:sectPr>
      </w:pPr>
    </w:p>
    <w:p w:rsidR="00F30C62" w:rsidRPr="00304314" w:rsidRDefault="004833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4314"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F30C62" w:rsidRPr="00304314" w:rsidRDefault="00483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314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F30C62" w:rsidRPr="00304314" w:rsidRDefault="004833CC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04314">
        <w:rPr>
          <w:rFonts w:ascii="Times New Roman" w:hAnsi="Times New Roman" w:cs="Times New Roman"/>
          <w:sz w:val="28"/>
          <w:szCs w:val="28"/>
        </w:rPr>
        <w:t>«Развитие гражданского общества Ханты-Мансийского района»</w:t>
      </w:r>
    </w:p>
    <w:p w:rsidR="00F30C62" w:rsidRPr="00304314" w:rsidRDefault="004833C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04314">
        <w:rPr>
          <w:rFonts w:ascii="Times New Roman" w:hAnsi="Times New Roman" w:cs="Times New Roman"/>
          <w:sz w:val="28"/>
          <w:szCs w:val="28"/>
        </w:rPr>
        <w:t>(далее-муниципальная программа)</w:t>
      </w:r>
    </w:p>
    <w:p w:rsidR="00F30C62" w:rsidRPr="00304314" w:rsidRDefault="00F30C62">
      <w:pPr>
        <w:spacing w:after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F30C62" w:rsidRPr="00304314" w:rsidRDefault="004833CC">
      <w:pPr>
        <w:pStyle w:val="ad"/>
        <w:numPr>
          <w:ilvl w:val="0"/>
          <w:numId w:val="2"/>
        </w:numPr>
        <w:contextualSpacing/>
        <w:jc w:val="center"/>
        <w:rPr>
          <w:rFonts w:ascii="Times New Roman" w:hAnsi="Times New Roman"/>
          <w:sz w:val="24"/>
          <w:szCs w:val="24"/>
        </w:rPr>
      </w:pPr>
      <w:r w:rsidRPr="00304314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Style w:val="aa"/>
        <w:tblW w:w="14029" w:type="dxa"/>
        <w:tblLayout w:type="fixed"/>
        <w:tblLook w:val="04A0" w:firstRow="1" w:lastRow="0" w:firstColumn="1" w:lastColumn="0" w:noHBand="0" w:noVBand="1"/>
      </w:tblPr>
      <w:tblGrid>
        <w:gridCol w:w="4531"/>
        <w:gridCol w:w="9498"/>
      </w:tblGrid>
      <w:tr w:rsidR="00304314" w:rsidRPr="00304314">
        <w:trPr>
          <w:trHeight w:val="20"/>
        </w:trPr>
        <w:tc>
          <w:tcPr>
            <w:tcW w:w="4531" w:type="dxa"/>
          </w:tcPr>
          <w:p w:rsidR="00F30C62" w:rsidRPr="00304314" w:rsidRDefault="004833CC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highlight w:val="yellow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 w:bidi="ru-RU"/>
              </w:rPr>
              <w:t>Куратор муниципальной программы</w:t>
            </w:r>
          </w:p>
        </w:tc>
        <w:tc>
          <w:tcPr>
            <w:tcW w:w="9498" w:type="dxa"/>
          </w:tcPr>
          <w:p w:rsidR="00F30C62" w:rsidRPr="00304314" w:rsidRDefault="004833CC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Заместитель Главы Ханты-Мансийского района по социальным вопросам</w:t>
            </w:r>
          </w:p>
        </w:tc>
      </w:tr>
      <w:tr w:rsidR="00304314" w:rsidRPr="00304314">
        <w:trPr>
          <w:trHeight w:val="20"/>
        </w:trPr>
        <w:tc>
          <w:tcPr>
            <w:tcW w:w="4531" w:type="dxa"/>
          </w:tcPr>
          <w:p w:rsidR="00F30C62" w:rsidRPr="00304314" w:rsidRDefault="004833CC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 w:bidi="ru-RU"/>
              </w:rPr>
              <w:t>Ответственный исполнитель муниципальной программы</w:t>
            </w:r>
          </w:p>
        </w:tc>
        <w:tc>
          <w:tcPr>
            <w:tcW w:w="9498" w:type="dxa"/>
          </w:tcPr>
          <w:p w:rsidR="00F30C62" w:rsidRPr="00304314" w:rsidRDefault="004833CC">
            <w:pPr>
              <w:widowControl w:val="0"/>
              <w:spacing w:after="0" w:line="240" w:lineRule="auto"/>
              <w:rPr>
                <w:rFonts w:ascii="Times New Roman" w:hAnsi="Times New Roman"/>
                <w:lang w:eastAsia="ru-RU" w:bidi="ru-RU"/>
              </w:rPr>
            </w:pPr>
            <w:r w:rsidRPr="00304314">
              <w:rPr>
                <w:rFonts w:ascii="Times New Roman" w:hAnsi="Times New Roman"/>
                <w:lang w:eastAsia="ru-RU" w:bidi="ru-RU"/>
              </w:rPr>
              <w:t>Управление по культуре, спорту и социальной политике Администрации Ханты-Мансийского района (далее-управление по культуре, спорту и социальной политике)</w:t>
            </w:r>
          </w:p>
        </w:tc>
      </w:tr>
      <w:tr w:rsidR="00304314" w:rsidRPr="00304314">
        <w:trPr>
          <w:trHeight w:val="20"/>
        </w:trPr>
        <w:tc>
          <w:tcPr>
            <w:tcW w:w="4531" w:type="dxa"/>
          </w:tcPr>
          <w:p w:rsidR="00F30C62" w:rsidRPr="00304314" w:rsidRDefault="004833CC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vertAlign w:val="superscript"/>
                <w:lang w:val="en-US"/>
              </w:rPr>
            </w:pPr>
            <w:r w:rsidRPr="00304314">
              <w:rPr>
                <w:rFonts w:ascii="Times New Roman" w:eastAsia="Courier New" w:hAnsi="Times New Roman"/>
                <w:lang w:bidi="ru-RU"/>
              </w:rPr>
              <w:t>Период реализации муниципальной программы</w:t>
            </w:r>
          </w:p>
        </w:tc>
        <w:tc>
          <w:tcPr>
            <w:tcW w:w="949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2025-2031 годы</w:t>
            </w:r>
          </w:p>
        </w:tc>
      </w:tr>
      <w:tr w:rsidR="00304314" w:rsidRPr="00304314">
        <w:trPr>
          <w:trHeight w:val="20"/>
        </w:trPr>
        <w:tc>
          <w:tcPr>
            <w:tcW w:w="4531" w:type="dxa"/>
          </w:tcPr>
          <w:p w:rsidR="00F30C62" w:rsidRPr="00304314" w:rsidRDefault="004833CC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</w:rPr>
            </w:pPr>
            <w:r w:rsidRPr="00304314">
              <w:rPr>
                <w:rFonts w:ascii="Times New Roman" w:eastAsia="Courier New" w:hAnsi="Times New Roman"/>
                <w:lang w:bidi="ru-RU"/>
              </w:rPr>
              <w:t>Цели муниципальной программы</w:t>
            </w:r>
          </w:p>
        </w:tc>
        <w:tc>
          <w:tcPr>
            <w:tcW w:w="9498" w:type="dxa"/>
          </w:tcPr>
          <w:p w:rsidR="00F30C62" w:rsidRPr="00304314" w:rsidRDefault="004833CC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Развитие институтов гражданского общества, социальной активности граждан, добровольческого потенциала жителей Ханты-Мансийского района, реализации гражданских инициатив, формирования культуры открытости в системе муниципального управления.</w:t>
            </w:r>
          </w:p>
        </w:tc>
      </w:tr>
      <w:tr w:rsidR="00304314" w:rsidRPr="00304314">
        <w:trPr>
          <w:trHeight w:val="20"/>
        </w:trPr>
        <w:tc>
          <w:tcPr>
            <w:tcW w:w="4531" w:type="dxa"/>
          </w:tcPr>
          <w:p w:rsidR="00F30C62" w:rsidRPr="00304314" w:rsidRDefault="004833CC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vertAlign w:val="superscript"/>
              </w:rPr>
            </w:pPr>
            <w:r w:rsidRPr="00304314">
              <w:rPr>
                <w:rFonts w:ascii="Times New Roman" w:eastAsia="Courier New" w:hAnsi="Times New Roman"/>
                <w:lang w:bidi="ru-RU"/>
              </w:rPr>
              <w:t>Объёмы финансового обеспечения за весь период реализации</w:t>
            </w:r>
          </w:p>
        </w:tc>
        <w:tc>
          <w:tcPr>
            <w:tcW w:w="9498" w:type="dxa"/>
          </w:tcPr>
          <w:p w:rsidR="00F30C62" w:rsidRPr="00304314" w:rsidRDefault="00017B38" w:rsidP="00017B38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434 </w:t>
            </w:r>
            <w:r w:rsidRPr="00304314">
              <w:rPr>
                <w:rFonts w:ascii="Times New Roman" w:hAnsi="Times New Roman"/>
                <w:lang w:val="en-US" w:eastAsia="ru-RU"/>
              </w:rPr>
              <w:t>075,1</w:t>
            </w:r>
            <w:r w:rsidR="004833CC" w:rsidRPr="00304314">
              <w:rPr>
                <w:rFonts w:ascii="Times New Roman" w:hAnsi="Times New Roman"/>
                <w:lang w:eastAsia="ru-RU"/>
              </w:rPr>
              <w:t xml:space="preserve"> тыс. рублей</w:t>
            </w:r>
            <w:r w:rsidRPr="00304314">
              <w:rPr>
                <w:rFonts w:ascii="Times New Roman" w:hAnsi="Times New Roman"/>
                <w:lang w:eastAsia="ru-RU"/>
              </w:rPr>
              <w:t xml:space="preserve"> </w:t>
            </w:r>
          </w:p>
        </w:tc>
      </w:tr>
      <w:tr w:rsidR="00F30C62" w:rsidRPr="00304314">
        <w:trPr>
          <w:trHeight w:val="20"/>
        </w:trPr>
        <w:tc>
          <w:tcPr>
            <w:tcW w:w="4531" w:type="dxa"/>
          </w:tcPr>
          <w:p w:rsidR="00F30C62" w:rsidRPr="00304314" w:rsidRDefault="004833CC">
            <w:pPr>
              <w:widowControl w:val="0"/>
              <w:spacing w:after="0" w:line="240" w:lineRule="auto"/>
              <w:ind w:right="191"/>
              <w:rPr>
                <w:rFonts w:ascii="Times New Roman" w:hAnsi="Times New Roman"/>
                <w:vertAlign w:val="superscript"/>
              </w:rPr>
            </w:pPr>
            <w:r w:rsidRPr="00304314">
              <w:rPr>
                <w:rFonts w:ascii="Times New Roman" w:hAnsi="Times New Roman"/>
                <w:lang w:eastAsia="ru-RU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округа-Югры / муниципальными программами Ханты-Мансийского района</w:t>
            </w:r>
          </w:p>
        </w:tc>
        <w:tc>
          <w:tcPr>
            <w:tcW w:w="9498" w:type="dxa"/>
          </w:tcPr>
          <w:p w:rsidR="00F30C62" w:rsidRPr="00304314" w:rsidRDefault="004833CC">
            <w:pPr>
              <w:pStyle w:val="ad"/>
              <w:widowControl w:val="0"/>
              <w:numPr>
                <w:ilvl w:val="0"/>
                <w:numId w:val="3"/>
              </w:numPr>
              <w:tabs>
                <w:tab w:val="left" w:pos="341"/>
                <w:tab w:val="left" w:pos="590"/>
              </w:tabs>
              <w:ind w:left="34" w:firstLine="0"/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  <w:r w:rsidRPr="00304314">
              <w:rPr>
                <w:rFonts w:ascii="Times New Roman" w:hAnsi="Times New Roman"/>
                <w:shd w:val="clear" w:color="auto" w:fill="FFFFFF"/>
                <w:lang w:eastAsia="ru-RU" w:bidi="ru-RU"/>
              </w:rPr>
              <w:t>Реализация потенциала каждого человека, развитие его талантов, воспитание патриотичной и социально ответственной личности.</w:t>
            </w:r>
          </w:p>
          <w:p w:rsidR="00F30C62" w:rsidRPr="00304314" w:rsidRDefault="004833CC">
            <w:pPr>
              <w:widowControl w:val="0"/>
              <w:spacing w:after="0" w:line="240" w:lineRule="auto"/>
              <w:rPr>
                <w:rFonts w:ascii="Times New Roman" w:hAnsi="Times New Roman"/>
                <w:shd w:val="clear" w:color="auto" w:fill="FFFFFF"/>
                <w:lang w:eastAsia="ru-RU" w:bidi="ru-RU"/>
              </w:rPr>
            </w:pPr>
            <w:r w:rsidRPr="00304314">
              <w:rPr>
                <w:rFonts w:ascii="Times New Roman" w:hAnsi="Times New Roman"/>
                <w:shd w:val="clear" w:color="auto" w:fill="FFFFFF"/>
                <w:lang w:eastAsia="ru-RU" w:bidi="ru-RU"/>
              </w:rPr>
              <w:t xml:space="preserve">2. Государственная программа Ханты-Мансийского автономного округа-Югры «Развитие </w:t>
            </w:r>
          </w:p>
          <w:p w:rsidR="00F30C62" w:rsidRPr="00304314" w:rsidRDefault="004833CC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shd w:val="clear" w:color="auto" w:fill="FFFFFF"/>
                <w:lang w:eastAsia="ru-RU" w:bidi="ru-RU"/>
              </w:rPr>
              <w:t>гражданского общества».</w:t>
            </w:r>
          </w:p>
        </w:tc>
      </w:tr>
    </w:tbl>
    <w:p w:rsidR="00F30C62" w:rsidRPr="00304314" w:rsidRDefault="00F30C62">
      <w:pPr>
        <w:pStyle w:val="ad"/>
        <w:ind w:left="927"/>
        <w:rPr>
          <w:rFonts w:ascii="Times New Roman" w:hAnsi="Times New Roman"/>
          <w:sz w:val="24"/>
          <w:szCs w:val="24"/>
        </w:rPr>
      </w:pPr>
    </w:p>
    <w:p w:rsidR="00F30C62" w:rsidRPr="00304314" w:rsidRDefault="004833CC">
      <w:pPr>
        <w:pStyle w:val="ab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304314">
        <w:rPr>
          <w:rFonts w:ascii="Times New Roman" w:hAnsi="Times New Roman"/>
          <w:bCs/>
          <w:kern w:val="28"/>
          <w:sz w:val="28"/>
          <w:szCs w:val="28"/>
        </w:rPr>
        <w:t>2. Показатели муниципальной программы</w:t>
      </w:r>
    </w:p>
    <w:p w:rsidR="00F30C62" w:rsidRPr="00304314" w:rsidRDefault="00F30C62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887"/>
        <w:gridCol w:w="709"/>
        <w:gridCol w:w="992"/>
        <w:gridCol w:w="709"/>
        <w:gridCol w:w="709"/>
        <w:gridCol w:w="906"/>
        <w:gridCol w:w="709"/>
        <w:gridCol w:w="709"/>
        <w:gridCol w:w="709"/>
        <w:gridCol w:w="708"/>
        <w:gridCol w:w="709"/>
        <w:gridCol w:w="638"/>
        <w:gridCol w:w="1147"/>
        <w:gridCol w:w="1759"/>
        <w:gridCol w:w="1216"/>
      </w:tblGrid>
      <w:tr w:rsidR="00304314" w:rsidRPr="00304314" w:rsidTr="00B6094C">
        <w:trPr>
          <w:trHeight w:val="20"/>
          <w:jc w:val="center"/>
        </w:trPr>
        <w:tc>
          <w:tcPr>
            <w:tcW w:w="515" w:type="dxa"/>
            <w:vMerge w:val="restart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№ п/п</w:t>
            </w:r>
          </w:p>
        </w:tc>
        <w:tc>
          <w:tcPr>
            <w:tcW w:w="1887" w:type="dxa"/>
            <w:vMerge w:val="restart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Базовое значение</w:t>
            </w:r>
          </w:p>
        </w:tc>
        <w:tc>
          <w:tcPr>
            <w:tcW w:w="5088" w:type="dxa"/>
            <w:gridSpan w:val="7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Значение показателя по годам</w:t>
            </w:r>
          </w:p>
        </w:tc>
        <w:tc>
          <w:tcPr>
            <w:tcW w:w="1147" w:type="dxa"/>
            <w:shd w:val="clear" w:color="auto" w:fill="auto"/>
            <w:noWrap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Документ</w:t>
            </w:r>
          </w:p>
        </w:tc>
        <w:tc>
          <w:tcPr>
            <w:tcW w:w="175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Ответственный исполнитель/со исполнитель за достижение показателя</w:t>
            </w:r>
          </w:p>
        </w:tc>
        <w:tc>
          <w:tcPr>
            <w:tcW w:w="1216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Связь с показателями национальных целей</w:t>
            </w:r>
          </w:p>
        </w:tc>
      </w:tr>
      <w:tr w:rsidR="00304314" w:rsidRPr="00304314" w:rsidTr="00B6094C">
        <w:trPr>
          <w:trHeight w:val="20"/>
          <w:jc w:val="center"/>
        </w:trPr>
        <w:tc>
          <w:tcPr>
            <w:tcW w:w="515" w:type="dxa"/>
            <w:vMerge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887" w:type="dxa"/>
            <w:vMerge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год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2028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2030</w:t>
            </w:r>
          </w:p>
        </w:tc>
        <w:tc>
          <w:tcPr>
            <w:tcW w:w="638" w:type="dxa"/>
          </w:tcPr>
          <w:p w:rsidR="00B6094C" w:rsidRPr="00304314" w:rsidRDefault="00B6094C" w:rsidP="00B6094C">
            <w:pPr>
              <w:pStyle w:val="ab"/>
              <w:ind w:left="-37" w:right="-108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2031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216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304314" w:rsidRPr="00304314" w:rsidTr="00B6094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638" w:type="dxa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1759" w:type="dxa"/>
            <w:shd w:val="clear" w:color="auto" w:fill="auto"/>
          </w:tcPr>
          <w:p w:rsidR="00B6094C" w:rsidRPr="00304314" w:rsidRDefault="00B6094C" w:rsidP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</w:t>
            </w:r>
          </w:p>
        </w:tc>
        <w:tc>
          <w:tcPr>
            <w:tcW w:w="1216" w:type="dxa"/>
            <w:shd w:val="clear" w:color="auto" w:fill="auto"/>
          </w:tcPr>
          <w:p w:rsidR="00B6094C" w:rsidRPr="00304314" w:rsidRDefault="00B6094C" w:rsidP="00B6094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</w:t>
            </w:r>
          </w:p>
        </w:tc>
      </w:tr>
      <w:tr w:rsidR="00304314" w:rsidRPr="00304314" w:rsidTr="00B6094C">
        <w:trPr>
          <w:trHeight w:val="20"/>
          <w:jc w:val="center"/>
        </w:trPr>
        <w:tc>
          <w:tcPr>
            <w:tcW w:w="14731" w:type="dxa"/>
            <w:gridSpan w:val="16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 xml:space="preserve">Цель: </w:t>
            </w:r>
            <w:r w:rsidRPr="00304314">
              <w:rPr>
                <w:rFonts w:ascii="Times New Roman" w:hAnsi="Times New Roman"/>
              </w:rPr>
              <w:t xml:space="preserve">Развитие институтов гражданского общества, социальной активности граждан, добровольческого потенциала жителей Ханты-Мансийского </w:t>
            </w:r>
            <w:r w:rsidRPr="00304314">
              <w:rPr>
                <w:rFonts w:ascii="Times New Roman" w:hAnsi="Times New Roman"/>
              </w:rPr>
              <w:lastRenderedPageBreak/>
              <w:t>района, реализации гражданских инициатив, формирования культуры открытости в системе муниципального управления</w:t>
            </w:r>
          </w:p>
        </w:tc>
      </w:tr>
      <w:tr w:rsidR="00304314" w:rsidRPr="00304314" w:rsidTr="00B6094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1.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34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35</w:t>
            </w:r>
          </w:p>
        </w:tc>
        <w:tc>
          <w:tcPr>
            <w:tcW w:w="638" w:type="dxa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35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Управление по культуре, спорту и социальной политике</w:t>
            </w:r>
          </w:p>
        </w:tc>
        <w:tc>
          <w:tcPr>
            <w:tcW w:w="1216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</w:tr>
      <w:tr w:rsidR="00304314" w:rsidRPr="00304314" w:rsidTr="00B6094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>
            <w:pPr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jc w:val="center"/>
              <w:rPr>
                <w:rFonts w:ascii="Times New Roman" w:hAnsi="Times New Roman"/>
                <w:bCs/>
                <w:strike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ГП</w:t>
            </w:r>
          </w:p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</w:t>
            </w:r>
            <w:r w:rsidRPr="00304314">
              <w:rPr>
                <w:rFonts w:ascii="Times New Roman" w:hAnsi="Times New Roman"/>
                <w:bCs/>
                <w:kern w:val="28"/>
              </w:rPr>
              <w:t>*</w:t>
            </w: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&gt;</w:t>
            </w:r>
          </w:p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14,2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15,7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15,8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16,0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16,1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16,2</w:t>
            </w:r>
          </w:p>
        </w:tc>
        <w:tc>
          <w:tcPr>
            <w:tcW w:w="638" w:type="dxa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16,2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 xml:space="preserve">Постановление правительства Ханты-Мансийского автономного округа-Югры от 10.11.2023 № 546-п «О </w:t>
            </w:r>
          </w:p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Государственной программе Ханты-Мансийского автономн</w:t>
            </w: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 xml:space="preserve">ого округа-Югры «Развитие гражданского общества» </w:t>
            </w:r>
          </w:p>
        </w:tc>
        <w:tc>
          <w:tcPr>
            <w:tcW w:w="1759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lastRenderedPageBreak/>
              <w:t>Управление по культуре, спорту и социальной политике</w:t>
            </w:r>
          </w:p>
        </w:tc>
        <w:tc>
          <w:tcPr>
            <w:tcW w:w="1216" w:type="dxa"/>
            <w:shd w:val="clear" w:color="auto" w:fill="auto"/>
          </w:tcPr>
          <w:p w:rsidR="00B6094C" w:rsidRPr="00304314" w:rsidRDefault="00B6094C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</w:tr>
      <w:tr w:rsidR="00304314" w:rsidRPr="00304314" w:rsidTr="00B6094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 w:rsidP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3.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Годовой объем тиража информационных полос газеты «Наш район» в соответствии с утвержденным муниципальным заданием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B6094C" w:rsidRPr="00304314" w:rsidRDefault="00B6094C" w:rsidP="00B6094C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полос формата А2</w:t>
            </w:r>
          </w:p>
        </w:tc>
        <w:tc>
          <w:tcPr>
            <w:tcW w:w="709" w:type="dxa"/>
            <w:shd w:val="clear" w:color="auto" w:fill="auto"/>
          </w:tcPr>
          <w:p w:rsidR="00135291" w:rsidRPr="00304314" w:rsidRDefault="007357E1" w:rsidP="00B609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1056719</w:t>
            </w:r>
          </w:p>
        </w:tc>
        <w:tc>
          <w:tcPr>
            <w:tcW w:w="709" w:type="dxa"/>
            <w:shd w:val="clear" w:color="auto" w:fill="auto"/>
          </w:tcPr>
          <w:p w:rsidR="007357E1" w:rsidRDefault="007357E1" w:rsidP="00B609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  <w:p w:rsidR="007357E1" w:rsidRPr="00304314" w:rsidRDefault="007357E1" w:rsidP="00B60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00E7C" w:rsidRDefault="00500E7C" w:rsidP="00500E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  <w:p w:rsidR="00B6094C" w:rsidRPr="00304314" w:rsidRDefault="00B6094C" w:rsidP="00B60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00E7C" w:rsidRDefault="00500E7C" w:rsidP="00500E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  <w:p w:rsidR="00B6094C" w:rsidRPr="00304314" w:rsidRDefault="00B6094C" w:rsidP="00B60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auto"/>
          </w:tcPr>
          <w:p w:rsidR="00500E7C" w:rsidRDefault="00500E7C" w:rsidP="00500E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  <w:p w:rsidR="00B6094C" w:rsidRPr="00304314" w:rsidRDefault="00B6094C" w:rsidP="00B60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500E7C" w:rsidRDefault="00500E7C" w:rsidP="00500E7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  <w:p w:rsidR="00B6094C" w:rsidRPr="00304314" w:rsidRDefault="00B6094C" w:rsidP="00B609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B6094C" w:rsidRPr="00500E7C" w:rsidRDefault="00500E7C" w:rsidP="00B6094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1054070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Управление по культуре, спорту и социальной политике</w:t>
            </w:r>
          </w:p>
        </w:tc>
        <w:tc>
          <w:tcPr>
            <w:tcW w:w="1216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04314" w:rsidRPr="00304314" w:rsidTr="00B6094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B6094C" w:rsidRPr="00304314" w:rsidRDefault="00B6094C" w:rsidP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4.</w:t>
            </w:r>
          </w:p>
        </w:tc>
        <w:tc>
          <w:tcPr>
            <w:tcW w:w="1887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B6094C" w:rsidRPr="00304314" w:rsidRDefault="00B6094C" w:rsidP="00B6094C">
            <w:pPr>
              <w:pStyle w:val="ab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304314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304314">
              <w:rPr>
                <w:rFonts w:ascii="Times New Roman" w:eastAsia="Calibri" w:hAnsi="Times New Roman" w:cs="Times New Roman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2025</w:t>
            </w:r>
          </w:p>
        </w:tc>
        <w:tc>
          <w:tcPr>
            <w:tcW w:w="906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8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638" w:type="dxa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147" w:type="dxa"/>
            <w:shd w:val="clear" w:color="auto" w:fill="auto"/>
          </w:tcPr>
          <w:p w:rsidR="00B6094C" w:rsidRPr="00304314" w:rsidRDefault="00B6094C" w:rsidP="00B6094C">
            <w:pPr>
              <w:pStyle w:val="ab"/>
              <w:rPr>
                <w:rFonts w:ascii="Times New Roman" w:eastAsia="Calibri" w:hAnsi="Times New Roman"/>
              </w:rPr>
            </w:pPr>
          </w:p>
        </w:tc>
        <w:tc>
          <w:tcPr>
            <w:tcW w:w="1759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Управление по культуре, спорту и социальной политике</w:t>
            </w:r>
          </w:p>
        </w:tc>
        <w:tc>
          <w:tcPr>
            <w:tcW w:w="1216" w:type="dxa"/>
            <w:shd w:val="clear" w:color="auto" w:fill="auto"/>
          </w:tcPr>
          <w:p w:rsidR="00B6094C" w:rsidRPr="00304314" w:rsidRDefault="00B6094C" w:rsidP="00B6094C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F30C62" w:rsidRPr="00304314" w:rsidRDefault="004833CC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  <w:r w:rsidRPr="00304314">
        <w:rPr>
          <w:rFonts w:ascii="Times New Roman" w:hAnsi="Times New Roman"/>
          <w:bCs/>
          <w:kern w:val="28"/>
          <w:sz w:val="24"/>
          <w:szCs w:val="24"/>
        </w:rPr>
        <w:t>&lt;*&gt; муниципальная программа Ханты-Мансийского района</w:t>
      </w:r>
    </w:p>
    <w:p w:rsidR="00F30C62" w:rsidRPr="00304314" w:rsidRDefault="004833CC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  <w:r w:rsidRPr="00304314">
        <w:rPr>
          <w:rFonts w:ascii="Times New Roman" w:hAnsi="Times New Roman"/>
          <w:bCs/>
          <w:kern w:val="28"/>
          <w:sz w:val="24"/>
          <w:szCs w:val="24"/>
        </w:rPr>
        <w:t>&lt;**&gt; государственная программа Ханты-Мансийского автономного округа – Югры</w:t>
      </w:r>
    </w:p>
    <w:p w:rsidR="00F30C62" w:rsidRPr="00304314" w:rsidRDefault="00F30C62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p w:rsidR="00F30C62" w:rsidRPr="00304314" w:rsidRDefault="00F30C62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p w:rsidR="00F30C62" w:rsidRPr="00304314" w:rsidRDefault="00F30C62">
      <w:pPr>
        <w:pStyle w:val="ab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F30C62" w:rsidRPr="00304314" w:rsidRDefault="004833CC">
      <w:pPr>
        <w:pStyle w:val="ab"/>
        <w:spacing w:after="24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304314">
        <w:rPr>
          <w:rFonts w:ascii="Times New Roman" w:hAnsi="Times New Roman"/>
          <w:bCs/>
          <w:kern w:val="28"/>
          <w:sz w:val="28"/>
          <w:szCs w:val="28"/>
        </w:rPr>
        <w:t>3. Помесячный план достижения показателе</w:t>
      </w:r>
      <w:r w:rsidR="00B80BCF" w:rsidRPr="00304314">
        <w:rPr>
          <w:rFonts w:ascii="Times New Roman" w:hAnsi="Times New Roman"/>
          <w:bCs/>
          <w:kern w:val="28"/>
          <w:sz w:val="28"/>
          <w:szCs w:val="28"/>
        </w:rPr>
        <w:t>й муниципальной программы в 2026</w:t>
      </w:r>
      <w:r w:rsidRPr="00304314">
        <w:rPr>
          <w:rFonts w:ascii="Times New Roman" w:hAnsi="Times New Roman"/>
          <w:bCs/>
          <w:kern w:val="28"/>
          <w:sz w:val="28"/>
          <w:szCs w:val="28"/>
        </w:rPr>
        <w:t xml:space="preserve"> году</w:t>
      </w:r>
    </w:p>
    <w:tbl>
      <w:tblPr>
        <w:tblpPr w:leftFromText="180" w:rightFromText="180" w:vertAnchor="text" w:tblpXSpec="center" w:tblpY="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811"/>
        <w:gridCol w:w="1736"/>
        <w:gridCol w:w="850"/>
        <w:gridCol w:w="851"/>
        <w:gridCol w:w="708"/>
        <w:gridCol w:w="709"/>
        <w:gridCol w:w="851"/>
        <w:gridCol w:w="708"/>
        <w:gridCol w:w="709"/>
        <w:gridCol w:w="856"/>
        <w:gridCol w:w="851"/>
        <w:gridCol w:w="708"/>
        <w:gridCol w:w="851"/>
        <w:gridCol w:w="850"/>
        <w:gridCol w:w="851"/>
        <w:gridCol w:w="1129"/>
      </w:tblGrid>
      <w:tr w:rsidR="00304314" w:rsidRPr="00304314">
        <w:trPr>
          <w:trHeight w:val="2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№ п/п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Плановые значения по кварталам/месяцам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1F3C1E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 xml:space="preserve">На конец </w:t>
            </w:r>
            <w:r w:rsidRPr="00304314">
              <w:rPr>
                <w:rFonts w:ascii="Times New Roman" w:hAnsi="Times New Roman"/>
                <w:bCs/>
              </w:rPr>
              <w:br/>
              <w:t>2026</w:t>
            </w:r>
            <w:r w:rsidR="004833CC" w:rsidRPr="00304314">
              <w:rPr>
                <w:rFonts w:ascii="Times New Roman" w:hAnsi="Times New Roman"/>
                <w:bCs/>
              </w:rPr>
              <w:t xml:space="preserve"> года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янв.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фев.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март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апр.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май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июль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авг.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сен.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окт.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ноя.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</w:rPr>
            </w:pP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  <w:b/>
                <w:bCs/>
              </w:rPr>
            </w:pPr>
            <w:r w:rsidRPr="00304314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16</w:t>
            </w:r>
          </w:p>
        </w:tc>
      </w:tr>
      <w:tr w:rsidR="00304314" w:rsidRPr="00304314">
        <w:trPr>
          <w:trHeight w:val="20"/>
        </w:trPr>
        <w:tc>
          <w:tcPr>
            <w:tcW w:w="1402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</w:rPr>
            </w:pPr>
            <w:r w:rsidRPr="00304314">
              <w:rPr>
                <w:rFonts w:ascii="Times New Roman" w:hAnsi="Times New Roman"/>
                <w:bCs/>
              </w:rPr>
              <w:t xml:space="preserve">Цель: Укрепление единого культурного пространства, </w:t>
            </w:r>
            <w:r w:rsidRPr="00304314"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 w:rsidRPr="00304314">
              <w:rPr>
                <w:rFonts w:ascii="Times New Roman" w:eastAsia="Calibri" w:hAnsi="Times New Roman"/>
              </w:rPr>
              <w:t>.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 w:rsidRPr="00304314">
              <w:rPr>
                <w:rFonts w:ascii="Times New Roman" w:eastAsia="Calibri" w:hAnsi="Times New Roman"/>
              </w:rPr>
              <w:t>33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Доля граждан, занимающихся добровольческой (волонтерской) деятельностью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ГП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  <w:kern w:val="28"/>
                <w:highlight w:val="yellow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7</w:t>
            </w:r>
            <w:r w:rsidR="00B80BCF" w:rsidRPr="00304314">
              <w:rPr>
                <w:rFonts w:ascii="Times New Roman" w:hAnsi="Times New Roman"/>
                <w:bCs/>
              </w:rPr>
              <w:t>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B80BCF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15,8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3.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Годовой объем тиража информационных полос газеты «Наш район» в соответствии с утвержденным муниципальным заданием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полос формата А2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E1" w:rsidRPr="00304314" w:rsidRDefault="007357E1">
            <w:pPr>
              <w:pStyle w:val="ab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527035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57E1" w:rsidRPr="00304314" w:rsidRDefault="007357E1">
            <w:pPr>
              <w:pStyle w:val="ab"/>
              <w:jc w:val="center"/>
              <w:rPr>
                <w:rFonts w:ascii="Times New Roman" w:hAnsi="Times New Roman"/>
                <w:bCs/>
                <w:strike/>
                <w:kern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/>
              </w:rPr>
              <w:t>1054070</w:t>
            </w:r>
          </w:p>
        </w:tc>
      </w:tr>
      <w:tr w:rsidR="00304314" w:rsidRPr="00304314">
        <w:trPr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4.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314">
              <w:rPr>
                <w:rFonts w:ascii="Times New Roman" w:hAnsi="Times New Roman" w:cs="Times New Roman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МП</w:t>
            </w:r>
          </w:p>
          <w:p w:rsidR="00F30C62" w:rsidRPr="00304314" w:rsidRDefault="00F30C62">
            <w:pPr>
              <w:spacing w:after="0" w:line="240" w:lineRule="auto"/>
              <w:rPr>
                <w:rFonts w:ascii="Times New Roman" w:eastAsia="Calibri" w:hAnsi="Times New Roman" w:cs="Times New Roman"/>
                <w:strike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04314">
              <w:rPr>
                <w:rFonts w:ascii="Times New Roman" w:eastAsia="Calibri" w:hAnsi="Times New Roman" w:cs="Times New Roman"/>
              </w:rPr>
              <w:t xml:space="preserve">%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eastAsia="Calibri" w:hAnsi="Times New Roman"/>
                <w:b/>
              </w:rPr>
            </w:pPr>
            <w:r w:rsidRPr="0030431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t>100</w:t>
            </w:r>
          </w:p>
        </w:tc>
      </w:tr>
    </w:tbl>
    <w:p w:rsidR="00F30C62" w:rsidRPr="00304314" w:rsidRDefault="00F30C62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p w:rsidR="00F30C62" w:rsidRPr="00304314" w:rsidRDefault="004833CC">
      <w:pPr>
        <w:pStyle w:val="ab"/>
        <w:numPr>
          <w:ilvl w:val="0"/>
          <w:numId w:val="4"/>
        </w:numPr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304314">
        <w:rPr>
          <w:rFonts w:ascii="Times New Roman" w:hAnsi="Times New Roman"/>
          <w:bCs/>
          <w:kern w:val="28"/>
          <w:sz w:val="28"/>
          <w:szCs w:val="28"/>
        </w:rPr>
        <w:t>Структура муниципальной программы</w:t>
      </w:r>
    </w:p>
    <w:p w:rsidR="00F30C62" w:rsidRPr="00304314" w:rsidRDefault="00F30C62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3907"/>
        <w:gridCol w:w="5940"/>
        <w:gridCol w:w="3416"/>
      </w:tblGrid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№ п/п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bCs/>
              </w:rPr>
              <w:t>Региональный проект «Социальная активность»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1.1.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eastAsia="Calibri" w:hAnsi="Times New Roman"/>
              </w:rPr>
              <w:t>Создание условий для развития и поддержки добровольчества (</w:t>
            </w:r>
            <w:proofErr w:type="spellStart"/>
            <w:r w:rsidRPr="00304314">
              <w:rPr>
                <w:rFonts w:ascii="Times New Roman" w:eastAsia="Calibri" w:hAnsi="Times New Roman"/>
              </w:rPr>
              <w:t>волонтерства</w:t>
            </w:r>
            <w:proofErr w:type="spellEnd"/>
            <w:r w:rsidRPr="00304314">
              <w:rPr>
                <w:rFonts w:ascii="Times New Roman" w:eastAsia="Calibri" w:hAnsi="Times New Roman"/>
              </w:rPr>
              <w:t>)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Увеличение общего количества граждан, вовлеченных в добровольческую (волонтерскую) деятельность путем реализации мероприятий в сфере добровольчества </w:t>
            </w:r>
            <w:r w:rsidRPr="00304314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304314">
              <w:rPr>
                <w:rFonts w:ascii="Times New Roman" w:hAnsi="Times New Roman"/>
              </w:rPr>
              <w:t>волонтерства</w:t>
            </w:r>
            <w:proofErr w:type="spellEnd"/>
            <w:r w:rsidRPr="00304314">
              <w:rPr>
                <w:rFonts w:ascii="Times New Roman" w:hAnsi="Times New Roman"/>
              </w:rPr>
              <w:t>), в том числе по обучению координаторами добровольцев (волонтеров) на курсах (лекциях, программах) работе в сфере добровольчества (</w:t>
            </w:r>
            <w:proofErr w:type="spellStart"/>
            <w:r w:rsidRPr="00304314">
              <w:rPr>
                <w:rFonts w:ascii="Times New Roman" w:hAnsi="Times New Roman"/>
              </w:rPr>
              <w:t>волонтерства</w:t>
            </w:r>
            <w:proofErr w:type="spellEnd"/>
            <w:r w:rsidRPr="00304314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  <w:kern w:val="28"/>
              </w:rPr>
              <w:lastRenderedPageBreak/>
              <w:t>Доля граждан, занимающихся добровольческой (волонтерской) деятельностью.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strike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Комплекс процессных мероприятий «Муниципальная поддержка проектов социально ориентированных некоммерческих организаций, направленных на развитие гражданского общества»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функционирования системы финансовой поддержки организациям, обеспечивающим благоприятные условия для осуществления деятельности социально ориентированных некоммерческих организаций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Предоставление субсидии на финансовое обеспечение проектов социально ориентированных некоммерческих организаций, направленных на повышение качества жизни людей пожилого возраста.</w:t>
            </w:r>
          </w:p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Предоставление субсидии на финансовое обеспечение проектов социально ориентированных некоммерческих организаций, направленных на социальную адаптацию инвалидов и их семей.</w:t>
            </w:r>
          </w:p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Оказание финансовой поддержки общественным организациям ветеранов Великой Отечественной войны, ветеранов-нефтяников, инвалидов, старожилов. Организация мероприятий для ветеранов (пенсионеров) войны и труда, Вооруженных сил, правоохранительных органов, ветеранов-нефтяников, инвалидов, старожилов, иных социально незащищенных категорий граждан.</w:t>
            </w:r>
          </w:p>
        </w:tc>
        <w:tc>
          <w:tcPr>
            <w:tcW w:w="3416" w:type="dxa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района.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strike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2.2.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функционирования системы популяризации деятельности социально ориентированных некоммерческих организаций в Ханты-Мансийском районе для вовлечения некоммерческих организаций и гражданских активистов Ханты-Мансийского района в развитие гражданского общества путем предоставления субсидии некоммерческой организации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Предоставление субсидии на финансовое обеспечение проектов социально ориентированных некоммерческих организаций в области культуры и народного творчества, направленных на реализацию потенциала каждого человека, развитие его талантов, воспитание патриотичной и социально ответственной личности. </w:t>
            </w:r>
          </w:p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Предоставление субсидии на финансовое обеспечение затрат на реализацию проектов в области содействия добровольчества и благотворительности. </w:t>
            </w:r>
          </w:p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Предоставление грантов Главы Ханты-Мансийского района в форме субсидии на развитие социальной деятельности в сфере культуры, физической культуры, спорта, социальной, молодежной политики, образования, дополнительного </w:t>
            </w:r>
            <w:r w:rsidRPr="00304314">
              <w:rPr>
                <w:rFonts w:ascii="Times New Roman" w:hAnsi="Times New Roman"/>
              </w:rPr>
              <w:lastRenderedPageBreak/>
              <w:t>образования, развития гражданского общества, традиционной хозяйственной деятельности коренных малочисленных народов Севера.</w:t>
            </w:r>
          </w:p>
        </w:tc>
        <w:tc>
          <w:tcPr>
            <w:tcW w:w="3416" w:type="dxa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lastRenderedPageBreak/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района.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  <w:strike/>
                <w:kern w:val="28"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Проведение мероприятий, направленные на возрождение и поддержку программ внеклассного и внеаудиторного исторического просвещения в студиях, кружках и иных просветительских формах (субсидия на иные цели).</w:t>
            </w:r>
          </w:p>
        </w:tc>
        <w:tc>
          <w:tcPr>
            <w:tcW w:w="3416" w:type="dxa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bCs/>
              </w:rPr>
              <w:t>Комплекс процессных мероприятий «Создание условий для развития гражданских инициатив»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3.1.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Реализация проектов в области патриотического воспитания граждан, в том числе молодежи, направленных на сохранение и укрепление традиционных российских духовно-нравственных ценностей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Проведение мероприятий по патриотическому воспитанию и формированию у подрастающего поколения активной гражданской позиции в отношении важности исторического просвещения и сохранения исторической памяти (субсидия на иные цели МКУ ЦБС).</w:t>
            </w:r>
          </w:p>
          <w:p w:rsidR="00F30C62" w:rsidRPr="00304314" w:rsidRDefault="004833CC">
            <w:pPr>
              <w:pStyle w:val="ab"/>
              <w:jc w:val="both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Предоставление субсидий на финансовое обеспечение затрат на реализацию проектов социально ориентированными некоммерческими организациями, направленных на развитие добровольческого (волонтерского) движения, направленной на сохранение исторической памяти, и проектов, реализуемых в данной сфере, в целях противодействия идеологической и информационной агрессии против России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  <w:r w:rsidRPr="00304314">
              <w:rPr>
                <w:rFonts w:ascii="Times New Roman" w:hAnsi="Times New Roman"/>
                <w:bCs/>
                <w:kern w:val="28"/>
              </w:rPr>
              <w:t xml:space="preserve"> 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  <w:kern w:val="28"/>
              </w:rPr>
            </w:pPr>
          </w:p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Количество социально значимых проектов социально ориентированных некоммерческих организаций, реализованных за счет субсидий из бюджета Ханты-Мансийского района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highlight w:val="yellow"/>
              </w:rPr>
            </w:pPr>
            <w:r w:rsidRPr="00304314">
              <w:rPr>
                <w:rFonts w:ascii="Times New Roman" w:hAnsi="Times New Roman"/>
                <w:bCs/>
              </w:rPr>
              <w:t>Комплекс процессных мероприятий «Организация выпуска периодического печатного издания - газеты «Наш район»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муниципальное автономное учреждение Ханты-Мансийского района «Редакция газеты «Наш район»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Срок</w:t>
            </w:r>
            <w:r w:rsidRPr="00304314">
              <w:rPr>
                <w:rFonts w:ascii="Times New Roman" w:eastAsia="Calibri" w:hAnsi="Times New Roman"/>
              </w:rPr>
              <w:t xml:space="preserve"> </w:t>
            </w:r>
            <w:r w:rsidRPr="00304314">
              <w:rPr>
                <w:rFonts w:ascii="Times New Roman" w:hAnsi="Times New Roman"/>
              </w:rPr>
              <w:t>реализации: 2025-2031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4.1.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 xml:space="preserve">Обеспечение информационной открытости деятельности органов </w:t>
            </w:r>
            <w:r w:rsidRPr="00304314">
              <w:rPr>
                <w:rFonts w:ascii="Times New Roman" w:hAnsi="Times New Roman"/>
              </w:rPr>
              <w:lastRenderedPageBreak/>
              <w:t>местного самоуправления Ханты-Мансийского района и эффективного информационного взаимодействия власти и общества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lastRenderedPageBreak/>
              <w:t>Осуществление издательской деятельности.</w:t>
            </w:r>
          </w:p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 xml:space="preserve">Оказание услуги УФПС ХМАО-Югры АО "Почта России" </w:t>
            </w:r>
            <w:r w:rsidRPr="00304314">
              <w:rPr>
                <w:rFonts w:ascii="Times New Roman" w:hAnsi="Times New Roman"/>
                <w:bCs/>
              </w:rPr>
              <w:lastRenderedPageBreak/>
              <w:t>по доставке газеты «Наш район» жителям Ханты-Мансийского района, относящимся к льготным категориям населения.</w:t>
            </w:r>
          </w:p>
          <w:p w:rsidR="00F30C62" w:rsidRPr="00304314" w:rsidRDefault="00F30C62">
            <w:pPr>
              <w:pStyle w:val="ab"/>
              <w:rPr>
                <w:rFonts w:ascii="Times New Roman" w:hAnsi="Times New Roman"/>
                <w:bCs/>
              </w:rPr>
            </w:pPr>
          </w:p>
        </w:tc>
        <w:tc>
          <w:tcPr>
            <w:tcW w:w="341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lastRenderedPageBreak/>
              <w:t xml:space="preserve">Годовой объем тиража информационных полос газеты </w:t>
            </w:r>
            <w:r w:rsidRPr="00304314">
              <w:rPr>
                <w:rFonts w:ascii="Times New Roman" w:hAnsi="Times New Roman"/>
              </w:rPr>
              <w:lastRenderedPageBreak/>
              <w:t>«Наш район» в соответствии с утвержденным муниципальным заданием.</w:t>
            </w:r>
          </w:p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бесплатной подписки на газету «Наш район» для жителей Ханты-Мансийского района, относящихся к льготным категориям населения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  <w:bCs/>
              </w:rPr>
              <w:lastRenderedPageBreak/>
              <w:t>5.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  <w:kern w:val="28"/>
              </w:rPr>
            </w:pPr>
            <w:r w:rsidRPr="00304314">
              <w:rPr>
                <w:rFonts w:ascii="Times New Roman" w:hAnsi="Times New Roman"/>
                <w:bCs/>
              </w:rPr>
              <w:t>Комплекс процессных мероприятий «Организационно-техническое  обеспечение  деятельности  МАУ "Молодежный центр Ханты-Мансийского района»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МАУ «Молодежный центр Ханты-Мансийского района»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4833CC">
            <w:pPr>
              <w:pStyle w:val="ab"/>
              <w:jc w:val="center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5.1.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highlight w:val="yellow"/>
              </w:rPr>
            </w:pPr>
            <w:r w:rsidRPr="00304314">
              <w:rPr>
                <w:rFonts w:ascii="Times New Roman" w:hAnsi="Times New Roman"/>
              </w:rPr>
              <w:t>Обеспечение осуществления функций и полномочий муниципального автономного учреждения, подведомственного Администрации Ханты-Мансийского района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Обеспечение деятельности МАУ «Молодежный центр Ханты-Мансийского района»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  <w:strike/>
              </w:rPr>
            </w:pPr>
          </w:p>
        </w:tc>
      </w:tr>
      <w:tr w:rsidR="00304314" w:rsidRPr="00304314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bCs/>
              </w:rPr>
            </w:pPr>
            <w:r w:rsidRPr="00304314">
              <w:rPr>
                <w:rFonts w:ascii="Times New Roman" w:hAnsi="Times New Roman"/>
                <w:bCs/>
              </w:rPr>
              <w:t>6. Комплекс процессных мероприятий «Создание условий для поддержания стабильного качества жизни отдельных категорий граждан, укрепление социальной защищенности»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356" w:type="dxa"/>
            <w:gridSpan w:val="2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304314" w:rsidRPr="00304314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6.1.</w:t>
            </w:r>
          </w:p>
        </w:tc>
        <w:tc>
          <w:tcPr>
            <w:tcW w:w="3907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  <w:highlight w:val="yellow"/>
              </w:rPr>
            </w:pPr>
            <w:r w:rsidRPr="00304314">
              <w:rPr>
                <w:rFonts w:ascii="Times New Roman" w:hAnsi="Times New Roman"/>
              </w:rPr>
              <w:t>Повышение уровня социального обеспечения и адресности мер социальной поддержки</w:t>
            </w:r>
          </w:p>
        </w:tc>
        <w:tc>
          <w:tcPr>
            <w:tcW w:w="5940" w:type="dxa"/>
            <w:shd w:val="clear" w:color="000000" w:fill="FFFFFF"/>
          </w:tcPr>
          <w:p w:rsidR="00F30C62" w:rsidRPr="00304314" w:rsidRDefault="004833CC">
            <w:pPr>
              <w:pStyle w:val="ab"/>
              <w:rPr>
                <w:rFonts w:ascii="Times New Roman" w:hAnsi="Times New Roman"/>
              </w:rPr>
            </w:pPr>
            <w:r w:rsidRPr="00304314">
              <w:rPr>
                <w:rFonts w:ascii="Times New Roman" w:hAnsi="Times New Roman"/>
              </w:rPr>
              <w:t>Оказание социальной поддержки в виде единовременной денежной выплаты отдельным категориям граждан.</w:t>
            </w:r>
          </w:p>
        </w:tc>
        <w:tc>
          <w:tcPr>
            <w:tcW w:w="3416" w:type="dxa"/>
            <w:shd w:val="clear" w:color="000000" w:fill="FFFFFF"/>
          </w:tcPr>
          <w:p w:rsidR="00F30C62" w:rsidRPr="00304314" w:rsidRDefault="00F30C62">
            <w:pPr>
              <w:pStyle w:val="ab"/>
              <w:rPr>
                <w:rFonts w:ascii="Times New Roman" w:hAnsi="Times New Roman"/>
              </w:rPr>
            </w:pPr>
          </w:p>
        </w:tc>
      </w:tr>
    </w:tbl>
    <w:p w:rsidR="00F30C62" w:rsidRPr="00304314" w:rsidRDefault="00F30C62">
      <w:pPr>
        <w:pStyle w:val="ab"/>
        <w:rPr>
          <w:rFonts w:ascii="Times New Roman" w:hAnsi="Times New Roman"/>
          <w:bCs/>
          <w:kern w:val="28"/>
          <w:sz w:val="24"/>
          <w:szCs w:val="24"/>
        </w:rPr>
      </w:pPr>
    </w:p>
    <w:p w:rsidR="00F30C62" w:rsidRPr="00304314" w:rsidRDefault="00F30C6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C62" w:rsidRPr="00304314" w:rsidRDefault="00F30C6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0BCF" w:rsidRPr="00304314" w:rsidRDefault="00B80BC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C62" w:rsidRPr="00304314" w:rsidRDefault="00F30C6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C62" w:rsidRPr="00304314" w:rsidRDefault="00F30C6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0C62" w:rsidRPr="00304314" w:rsidRDefault="004833C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314">
        <w:rPr>
          <w:rFonts w:ascii="Times New Roman" w:hAnsi="Times New Roman" w:cs="Times New Roman"/>
          <w:sz w:val="28"/>
          <w:szCs w:val="28"/>
        </w:rPr>
        <w:t>5. Финансовое обеспечение муниципальной программы</w:t>
      </w:r>
    </w:p>
    <w:tbl>
      <w:tblPr>
        <w:tblStyle w:val="aa"/>
        <w:tblW w:w="14132" w:type="dxa"/>
        <w:tblInd w:w="-5" w:type="dxa"/>
        <w:tblLook w:val="04A0" w:firstRow="1" w:lastRow="0" w:firstColumn="1" w:lastColumn="0" w:noHBand="0" w:noVBand="1"/>
      </w:tblPr>
      <w:tblGrid>
        <w:gridCol w:w="4678"/>
        <w:gridCol w:w="987"/>
        <w:gridCol w:w="1205"/>
        <w:gridCol w:w="1205"/>
        <w:gridCol w:w="1205"/>
        <w:gridCol w:w="1205"/>
        <w:gridCol w:w="1205"/>
        <w:gridCol w:w="1205"/>
        <w:gridCol w:w="1237"/>
      </w:tblGrid>
      <w:tr w:rsidR="00304314" w:rsidRPr="00304314">
        <w:trPr>
          <w:trHeight w:val="355"/>
        </w:trPr>
        <w:tc>
          <w:tcPr>
            <w:tcW w:w="4678" w:type="dxa"/>
            <w:vMerge w:val="restart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454" w:type="dxa"/>
            <w:gridSpan w:val="8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Объем финансового обеспечения по годам, тыс. рублей</w:t>
            </w:r>
          </w:p>
        </w:tc>
      </w:tr>
      <w:tr w:rsidR="00304314" w:rsidRPr="00304314">
        <w:trPr>
          <w:trHeight w:val="274"/>
        </w:trPr>
        <w:tc>
          <w:tcPr>
            <w:tcW w:w="4678" w:type="dxa"/>
            <w:vMerge/>
          </w:tcPr>
          <w:p w:rsidR="00F30C62" w:rsidRPr="00304314" w:rsidRDefault="00F30C6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2029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2030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2031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Всего</w:t>
            </w:r>
          </w:p>
        </w:tc>
      </w:tr>
      <w:tr w:rsidR="00304314" w:rsidRPr="00304314"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304314" w:rsidRPr="00304314">
        <w:trPr>
          <w:trHeight w:val="352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  <w:r w:rsidRPr="00304314">
              <w:rPr>
                <w:rFonts w:ascii="Times New Roman" w:hAnsi="Times New Roman"/>
                <w:lang w:eastAsia="ru-RU"/>
              </w:rPr>
              <w:t xml:space="preserve"> </w:t>
            </w:r>
            <w:r w:rsidRPr="00304314">
              <w:rPr>
                <w:rFonts w:ascii="Times New Roman" w:hAnsi="Times New Roman"/>
                <w:lang w:val="en-US" w:eastAsia="ru-RU"/>
              </w:rPr>
              <w:t>279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61 222,6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63 582,6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64 232,6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65 032,6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434 </w:t>
            </w:r>
            <w:r w:rsidRPr="00304314">
              <w:rPr>
                <w:rFonts w:ascii="Times New Roman" w:hAnsi="Times New Roman"/>
                <w:lang w:val="en-US" w:eastAsia="ru-RU"/>
              </w:rPr>
              <w:t>075,1</w:t>
            </w:r>
          </w:p>
        </w:tc>
      </w:tr>
      <w:tr w:rsidR="00304314" w:rsidRPr="00304314">
        <w:trPr>
          <w:trHeight w:val="352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  <w:r w:rsidRPr="00304314">
              <w:rPr>
                <w:rFonts w:ascii="Times New Roman" w:hAnsi="Times New Roman"/>
                <w:lang w:eastAsia="ru-RU"/>
              </w:rPr>
              <w:t xml:space="preserve"> </w:t>
            </w:r>
            <w:r w:rsidRPr="00304314">
              <w:rPr>
                <w:rFonts w:ascii="Times New Roman" w:hAnsi="Times New Roman"/>
                <w:lang w:val="en-US" w:eastAsia="ru-RU"/>
              </w:rPr>
              <w:t>279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61 222,6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63 582,6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64 232,6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65 032,6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65 862,6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434 </w:t>
            </w:r>
            <w:r w:rsidRPr="00304314">
              <w:rPr>
                <w:rFonts w:ascii="Times New Roman" w:hAnsi="Times New Roman"/>
                <w:lang w:val="en-US" w:eastAsia="ru-RU"/>
              </w:rPr>
              <w:t>075,1</w:t>
            </w:r>
          </w:p>
        </w:tc>
      </w:tr>
      <w:tr w:rsidR="00304314" w:rsidRPr="00304314">
        <w:trPr>
          <w:trHeight w:val="352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1.1.Региональный проект «Социальная активность»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04314" w:rsidRPr="00304314">
        <w:trPr>
          <w:trHeight w:val="352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автономного округа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04314" w:rsidRPr="00304314">
        <w:trPr>
          <w:trHeight w:val="407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304314" w:rsidRPr="00304314">
        <w:trPr>
          <w:trHeight w:val="352"/>
        </w:trPr>
        <w:tc>
          <w:tcPr>
            <w:tcW w:w="4678" w:type="dxa"/>
            <w:shd w:val="clear" w:color="auto" w:fill="auto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1.2.Комплекс процессных мероприятий «Муниципальная поддержка проектов социально ориентированных некоммерческих организаций, направленных на развитие гражданского общества»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3 450,00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3 670,0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5 780,0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6 540,0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7 260,0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42 740,0</w:t>
            </w:r>
          </w:p>
        </w:tc>
      </w:tr>
      <w:tr w:rsidR="00304314" w:rsidRPr="00304314">
        <w:trPr>
          <w:trHeight w:val="352"/>
        </w:trPr>
        <w:tc>
          <w:tcPr>
            <w:tcW w:w="4678" w:type="dxa"/>
            <w:shd w:val="clear" w:color="auto" w:fill="FFFFFF" w:themeFill="background1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3 450,0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3 670,0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5 780,0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6 540,0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7 260,0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8 020,0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42 740,0</w:t>
            </w:r>
          </w:p>
        </w:tc>
      </w:tr>
      <w:tr w:rsidR="00304314" w:rsidRPr="00304314">
        <w:trPr>
          <w:trHeight w:val="352"/>
        </w:trPr>
        <w:tc>
          <w:tcPr>
            <w:tcW w:w="4678" w:type="dxa"/>
            <w:shd w:val="clear" w:color="auto" w:fill="FFFFFF" w:themeFill="background1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1.3. Комплекс процессных </w:t>
            </w:r>
            <w:proofErr w:type="gramStart"/>
            <w:r w:rsidRPr="00304314">
              <w:rPr>
                <w:rFonts w:ascii="Times New Roman" w:hAnsi="Times New Roman"/>
                <w:lang w:eastAsia="ru-RU"/>
              </w:rPr>
              <w:t>мероприятий  «</w:t>
            </w:r>
            <w:proofErr w:type="gramEnd"/>
            <w:r w:rsidRPr="00304314">
              <w:rPr>
                <w:rFonts w:ascii="Times New Roman" w:hAnsi="Times New Roman"/>
                <w:lang w:eastAsia="ru-RU"/>
              </w:rPr>
              <w:t>Создание условий для развития гражданских инициатив»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2 580,0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730,0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980,0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870,0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950,0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8 150,0</w:t>
            </w:r>
          </w:p>
        </w:tc>
      </w:tr>
      <w:tr w:rsidR="00304314" w:rsidRPr="00304314">
        <w:trPr>
          <w:trHeight w:val="67"/>
        </w:trPr>
        <w:tc>
          <w:tcPr>
            <w:tcW w:w="4678" w:type="dxa"/>
            <w:shd w:val="clear" w:color="auto" w:fill="FFFFFF" w:themeFill="background1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2 580,0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730,0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980,0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870,0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950,0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1020,0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8 150,0</w:t>
            </w:r>
          </w:p>
        </w:tc>
      </w:tr>
      <w:tr w:rsidR="00304314" w:rsidRPr="00304314">
        <w:trPr>
          <w:trHeight w:val="67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1.4. Комплекс процессных </w:t>
            </w:r>
            <w:proofErr w:type="gramStart"/>
            <w:r w:rsidRPr="00304314">
              <w:rPr>
                <w:rFonts w:ascii="Times New Roman" w:hAnsi="Times New Roman"/>
                <w:lang w:eastAsia="ru-RU"/>
              </w:rPr>
              <w:t>мероприятий  «</w:t>
            </w:r>
            <w:proofErr w:type="gramEnd"/>
            <w:r w:rsidRPr="00304314">
              <w:rPr>
                <w:rFonts w:ascii="Times New Roman" w:hAnsi="Times New Roman"/>
                <w:lang w:eastAsia="ru-RU"/>
              </w:rPr>
              <w:t>Организация выпуска периодического печатного издания - газеты «Наш район» (всего),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18 </w:t>
            </w:r>
            <w:r w:rsidRPr="00304314">
              <w:rPr>
                <w:rFonts w:ascii="Times New Roman" w:hAnsi="Times New Roman"/>
                <w:lang w:val="en-US" w:eastAsia="ru-RU"/>
              </w:rPr>
              <w:t>89</w:t>
            </w:r>
            <w:r w:rsidRPr="00304314">
              <w:rPr>
                <w:rFonts w:ascii="Times New Roman" w:hAnsi="Times New Roman"/>
                <w:lang w:eastAsia="ru-RU"/>
              </w:rPr>
              <w:t>7,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19 566,6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19 566,6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</w:t>
            </w:r>
            <w:r w:rsidRPr="00304314">
              <w:rPr>
                <w:rFonts w:ascii="Times New Roman" w:hAnsi="Times New Roman"/>
                <w:lang w:val="en-US" w:eastAsia="ru-RU"/>
              </w:rPr>
              <w:t>6</w:t>
            </w:r>
            <w:r w:rsidRPr="00304314">
              <w:rPr>
                <w:rFonts w:ascii="Times New Roman" w:hAnsi="Times New Roman"/>
                <w:lang w:eastAsia="ru-RU"/>
              </w:rPr>
              <w:t>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13</w:t>
            </w:r>
            <w:r w:rsidRPr="00304314">
              <w:rPr>
                <w:rFonts w:ascii="Times New Roman" w:hAnsi="Times New Roman"/>
                <w:lang w:val="en-US" w:eastAsia="ru-RU"/>
              </w:rPr>
              <w:t>6</w:t>
            </w:r>
            <w:r w:rsidRPr="00304314">
              <w:rPr>
                <w:rFonts w:ascii="Times New Roman" w:hAnsi="Times New Roman"/>
                <w:lang w:eastAsia="ru-RU"/>
              </w:rPr>
              <w:t> </w:t>
            </w:r>
            <w:r w:rsidRPr="00304314">
              <w:rPr>
                <w:rFonts w:ascii="Times New Roman" w:hAnsi="Times New Roman"/>
                <w:lang w:val="en-US" w:eastAsia="ru-RU"/>
              </w:rPr>
              <w:t>297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4</w:t>
            </w:r>
          </w:p>
        </w:tc>
      </w:tr>
      <w:tr w:rsidR="00304314" w:rsidRPr="00304314">
        <w:trPr>
          <w:trHeight w:val="67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18 </w:t>
            </w:r>
            <w:r w:rsidRPr="00304314">
              <w:rPr>
                <w:rFonts w:ascii="Times New Roman" w:hAnsi="Times New Roman"/>
                <w:lang w:val="en-US" w:eastAsia="ru-RU"/>
              </w:rPr>
              <w:t>897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19 566,6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13</w:t>
            </w:r>
            <w:r w:rsidRPr="00304314">
              <w:rPr>
                <w:rFonts w:ascii="Times New Roman" w:hAnsi="Times New Roman"/>
                <w:lang w:val="en-US" w:eastAsia="ru-RU"/>
              </w:rPr>
              <w:t>6</w:t>
            </w:r>
            <w:r w:rsidRPr="00304314">
              <w:rPr>
                <w:rFonts w:ascii="Times New Roman" w:hAnsi="Times New Roman"/>
                <w:lang w:eastAsia="ru-RU"/>
              </w:rPr>
              <w:t> </w:t>
            </w:r>
            <w:r w:rsidRPr="00304314">
              <w:rPr>
                <w:rFonts w:ascii="Times New Roman" w:hAnsi="Times New Roman"/>
                <w:lang w:val="en-US" w:eastAsia="ru-RU"/>
              </w:rPr>
              <w:t>297</w:t>
            </w:r>
            <w:r w:rsidRPr="00304314">
              <w:rPr>
                <w:rFonts w:ascii="Times New Roman" w:hAnsi="Times New Roman"/>
                <w:lang w:eastAsia="ru-RU"/>
              </w:rPr>
              <w:t>,</w:t>
            </w:r>
            <w:r w:rsidRPr="00304314">
              <w:rPr>
                <w:rFonts w:ascii="Times New Roman" w:hAnsi="Times New Roman"/>
                <w:lang w:val="en-US" w:eastAsia="ru-RU"/>
              </w:rPr>
              <w:t>4</w:t>
            </w:r>
          </w:p>
        </w:tc>
      </w:tr>
      <w:tr w:rsidR="00304314" w:rsidRPr="00304314">
        <w:trPr>
          <w:trHeight w:val="67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1.5. Комплекс процессных </w:t>
            </w:r>
            <w:proofErr w:type="gramStart"/>
            <w:r w:rsidRPr="00304314">
              <w:rPr>
                <w:rFonts w:ascii="Times New Roman" w:hAnsi="Times New Roman"/>
                <w:lang w:eastAsia="ru-RU"/>
              </w:rPr>
              <w:t>мероприятий  «</w:t>
            </w:r>
            <w:proofErr w:type="gramEnd"/>
            <w:r w:rsidRPr="00304314">
              <w:rPr>
                <w:rFonts w:ascii="Times New Roman" w:hAnsi="Times New Roman"/>
                <w:lang w:eastAsia="ru-RU"/>
              </w:rPr>
              <w:t>Организационно-техническое  обеспечение  деятельности  МАУ «Молодежный центр Ханты-Мансийского района»,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8 401,7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</w:t>
            </w:r>
            <w:r w:rsidRPr="00304314">
              <w:rPr>
                <w:rFonts w:ascii="Times New Roman" w:hAnsi="Times New Roman"/>
                <w:lang w:val="en-US" w:eastAsia="ru-RU"/>
              </w:rPr>
              <w:t>71 337,7</w:t>
            </w:r>
          </w:p>
        </w:tc>
      </w:tr>
      <w:tr w:rsidR="00304314" w:rsidRPr="00304314">
        <w:trPr>
          <w:trHeight w:val="67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lastRenderedPageBreak/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8 401,7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27 156,0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171 337,7</w:t>
            </w:r>
          </w:p>
        </w:tc>
      </w:tr>
      <w:tr w:rsidR="00304314" w:rsidRPr="00304314">
        <w:trPr>
          <w:trHeight w:val="67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 xml:space="preserve">1.6. Комплекс процессных </w:t>
            </w:r>
            <w:proofErr w:type="gramStart"/>
            <w:r w:rsidRPr="00304314">
              <w:rPr>
                <w:rFonts w:ascii="Times New Roman" w:hAnsi="Times New Roman"/>
                <w:lang w:eastAsia="ru-RU"/>
              </w:rPr>
              <w:t>мероприятий  «</w:t>
            </w:r>
            <w:proofErr w:type="gramEnd"/>
            <w:r w:rsidRPr="00304314">
              <w:rPr>
                <w:rFonts w:ascii="Times New Roman" w:hAnsi="Times New Roman"/>
                <w:lang w:eastAsia="ru-RU"/>
              </w:rPr>
              <w:t>Создание условий для поддержания стабильного качества жизни отдельных категорий граждан, укрепление социальной защищенности», в том числе: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14 950,0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75 550,0</w:t>
            </w:r>
          </w:p>
        </w:tc>
      </w:tr>
      <w:tr w:rsidR="00304314" w:rsidRPr="00304314">
        <w:trPr>
          <w:trHeight w:val="67"/>
        </w:trPr>
        <w:tc>
          <w:tcPr>
            <w:tcW w:w="4678" w:type="dxa"/>
          </w:tcPr>
          <w:p w:rsidR="00F30C62" w:rsidRPr="00304314" w:rsidRDefault="004833C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Бюджет района</w:t>
            </w:r>
          </w:p>
        </w:tc>
        <w:tc>
          <w:tcPr>
            <w:tcW w:w="98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lang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14 950,0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bCs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05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eastAsia="ru-RU"/>
              </w:rPr>
              <w:t>10 100,0</w:t>
            </w:r>
          </w:p>
        </w:tc>
        <w:tc>
          <w:tcPr>
            <w:tcW w:w="1237" w:type="dxa"/>
            <w:vAlign w:val="center"/>
          </w:tcPr>
          <w:p w:rsidR="00F30C62" w:rsidRPr="00304314" w:rsidRDefault="004833CC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lang w:eastAsia="ru-RU"/>
              </w:rPr>
            </w:pPr>
            <w:r w:rsidRPr="00304314">
              <w:rPr>
                <w:rFonts w:ascii="Times New Roman" w:hAnsi="Times New Roman"/>
                <w:lang w:val="en-US" w:eastAsia="ru-RU"/>
              </w:rPr>
              <w:t>75 55</w:t>
            </w:r>
            <w:r w:rsidRPr="00304314">
              <w:rPr>
                <w:rFonts w:ascii="Times New Roman" w:hAnsi="Times New Roman"/>
                <w:lang w:eastAsia="ru-RU"/>
              </w:rPr>
              <w:t>0,0</w:t>
            </w:r>
          </w:p>
        </w:tc>
      </w:tr>
    </w:tbl>
    <w:p w:rsidR="00F30C62" w:rsidRPr="00304314" w:rsidRDefault="00F30C62">
      <w:pPr>
        <w:pStyle w:val="ConsPlusNormal"/>
        <w:ind w:left="1475" w:right="57" w:firstLine="652"/>
        <w:rPr>
          <w:rFonts w:ascii="Times New Roman" w:hAnsi="Times New Roman" w:cs="Times New Roman"/>
          <w:sz w:val="24"/>
          <w:szCs w:val="24"/>
        </w:rPr>
      </w:pPr>
    </w:p>
    <w:p w:rsidR="00F30C62" w:rsidRPr="00304314" w:rsidRDefault="00F30C62">
      <w:pPr>
        <w:spacing w:after="0" w:line="240" w:lineRule="auto"/>
        <w:rPr>
          <w:rFonts w:ascii="Times New Roman" w:hAnsi="Times New Roman"/>
          <w:kern w:val="2"/>
          <w:sz w:val="28"/>
          <w:szCs w:val="28"/>
          <w14:ligatures w14:val="standardContextual"/>
        </w:rPr>
      </w:pPr>
    </w:p>
    <w:sectPr w:rsidR="00F30C62" w:rsidRPr="00304314">
      <w:pgSz w:w="16838" w:h="11906" w:orient="landscape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797" w:rsidRDefault="00363797">
      <w:pPr>
        <w:spacing w:line="240" w:lineRule="auto"/>
      </w:pPr>
      <w:r>
        <w:separator/>
      </w:r>
    </w:p>
  </w:endnote>
  <w:endnote w:type="continuationSeparator" w:id="0">
    <w:p w:rsidR="00363797" w:rsidRDefault="003637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C62" w:rsidRDefault="004833CC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21</w:t>
    </w:r>
    <w:r>
      <w:rPr>
        <w:rStyle w:val="a3"/>
      </w:rPr>
      <w:fldChar w:fldCharType="end"/>
    </w:r>
  </w:p>
  <w:p w:rsidR="00F30C62" w:rsidRDefault="00F30C6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797" w:rsidRDefault="00363797">
      <w:pPr>
        <w:spacing w:after="0"/>
      </w:pPr>
      <w:r>
        <w:separator/>
      </w:r>
    </w:p>
  </w:footnote>
  <w:footnote w:type="continuationSeparator" w:id="0">
    <w:p w:rsidR="00363797" w:rsidRDefault="003637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C62" w:rsidRDefault="00F30C62">
    <w:pPr>
      <w:pStyle w:val="a6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4213"/>
    <w:multiLevelType w:val="multilevel"/>
    <w:tmpl w:val="0D844213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483C5A84"/>
    <w:multiLevelType w:val="multilevel"/>
    <w:tmpl w:val="483C5A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0F5404"/>
    <w:multiLevelType w:val="multilevel"/>
    <w:tmpl w:val="4E0F5404"/>
    <w:lvl w:ilvl="0">
      <w:start w:val="1"/>
      <w:numFmt w:val="decimal"/>
      <w:lvlText w:val="%1."/>
      <w:lvlJc w:val="left"/>
      <w:pPr>
        <w:ind w:left="1919" w:hanging="360"/>
      </w:pPr>
    </w:lvl>
    <w:lvl w:ilvl="1">
      <w:start w:val="1"/>
      <w:numFmt w:val="lowerLetter"/>
      <w:lvlText w:val="%2."/>
      <w:lvlJc w:val="left"/>
      <w:pPr>
        <w:ind w:left="2639" w:hanging="360"/>
      </w:pPr>
    </w:lvl>
    <w:lvl w:ilvl="2">
      <w:start w:val="1"/>
      <w:numFmt w:val="lowerRoman"/>
      <w:lvlText w:val="%3."/>
      <w:lvlJc w:val="right"/>
      <w:pPr>
        <w:ind w:left="3359" w:hanging="180"/>
      </w:pPr>
    </w:lvl>
    <w:lvl w:ilvl="3">
      <w:start w:val="1"/>
      <w:numFmt w:val="decimal"/>
      <w:lvlText w:val="%4."/>
      <w:lvlJc w:val="left"/>
      <w:pPr>
        <w:ind w:left="4079" w:hanging="360"/>
      </w:pPr>
    </w:lvl>
    <w:lvl w:ilvl="4">
      <w:start w:val="1"/>
      <w:numFmt w:val="lowerLetter"/>
      <w:lvlText w:val="%5."/>
      <w:lvlJc w:val="left"/>
      <w:pPr>
        <w:ind w:left="4799" w:hanging="360"/>
      </w:pPr>
    </w:lvl>
    <w:lvl w:ilvl="5">
      <w:start w:val="1"/>
      <w:numFmt w:val="lowerRoman"/>
      <w:lvlText w:val="%6."/>
      <w:lvlJc w:val="right"/>
      <w:pPr>
        <w:ind w:left="5519" w:hanging="180"/>
      </w:pPr>
    </w:lvl>
    <w:lvl w:ilvl="6">
      <w:start w:val="1"/>
      <w:numFmt w:val="decimal"/>
      <w:lvlText w:val="%7."/>
      <w:lvlJc w:val="left"/>
      <w:pPr>
        <w:ind w:left="6239" w:hanging="360"/>
      </w:pPr>
    </w:lvl>
    <w:lvl w:ilvl="7">
      <w:start w:val="1"/>
      <w:numFmt w:val="lowerLetter"/>
      <w:lvlText w:val="%8."/>
      <w:lvlJc w:val="left"/>
      <w:pPr>
        <w:ind w:left="6959" w:hanging="360"/>
      </w:pPr>
    </w:lvl>
    <w:lvl w:ilvl="8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9C94E00"/>
    <w:multiLevelType w:val="multilevel"/>
    <w:tmpl w:val="59C94E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D19"/>
    <w:rsid w:val="00017B38"/>
    <w:rsid w:val="000400F0"/>
    <w:rsid w:val="00047CD5"/>
    <w:rsid w:val="000D5007"/>
    <w:rsid w:val="00135291"/>
    <w:rsid w:val="001F3C1E"/>
    <w:rsid w:val="002042DE"/>
    <w:rsid w:val="00244AF5"/>
    <w:rsid w:val="002F4A50"/>
    <w:rsid w:val="002F6DA2"/>
    <w:rsid w:val="003040CB"/>
    <w:rsid w:val="00304314"/>
    <w:rsid w:val="00307467"/>
    <w:rsid w:val="00363797"/>
    <w:rsid w:val="004304CC"/>
    <w:rsid w:val="0045630F"/>
    <w:rsid w:val="00482671"/>
    <w:rsid w:val="004833CC"/>
    <w:rsid w:val="004C4FB9"/>
    <w:rsid w:val="004C7D19"/>
    <w:rsid w:val="00500E7C"/>
    <w:rsid w:val="00526492"/>
    <w:rsid w:val="00585C15"/>
    <w:rsid w:val="00586DCF"/>
    <w:rsid w:val="00597867"/>
    <w:rsid w:val="0068599D"/>
    <w:rsid w:val="007357E1"/>
    <w:rsid w:val="00795D4F"/>
    <w:rsid w:val="007E3FE7"/>
    <w:rsid w:val="008F2BB7"/>
    <w:rsid w:val="00946C9D"/>
    <w:rsid w:val="00A96E5C"/>
    <w:rsid w:val="00B07E55"/>
    <w:rsid w:val="00B41CAB"/>
    <w:rsid w:val="00B6094C"/>
    <w:rsid w:val="00B80BCF"/>
    <w:rsid w:val="00B96545"/>
    <w:rsid w:val="00CF1815"/>
    <w:rsid w:val="00D75D0F"/>
    <w:rsid w:val="00EA51C1"/>
    <w:rsid w:val="00F005CC"/>
    <w:rsid w:val="00F30C62"/>
    <w:rsid w:val="39DF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B31A791-DE82-4C49-8E82-25447995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39"/>
    <w:qFormat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b">
    <w:name w:val="No Spacing"/>
    <w:link w:val="ac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c">
    <w:name w:val="Без интервала Знак"/>
    <w:link w:val="ab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Times New Roman"/>
    </w:rPr>
  </w:style>
  <w:style w:type="paragraph" w:styleId="ad">
    <w:name w:val="List Paragraph"/>
    <w:basedOn w:val="a"/>
    <w:link w:val="ae"/>
    <w:uiPriority w:val="34"/>
    <w:qFormat/>
    <w:pPr>
      <w:spacing w:after="0" w:line="240" w:lineRule="auto"/>
      <w:ind w:left="708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qFormat/>
    <w:locked/>
    <w:rPr>
      <w:rFonts w:ascii="Calibri" w:eastAsia="Times New Roman" w:hAnsi="Calibri" w:cs="Calibri"/>
      <w:szCs w:val="20"/>
      <w:lang w:eastAsia="ru-RU"/>
    </w:rPr>
  </w:style>
  <w:style w:type="character" w:customStyle="1" w:styleId="ae">
    <w:name w:val="Абзац списка Знак"/>
    <w:link w:val="ad"/>
    <w:uiPriority w:val="34"/>
    <w:qFormat/>
    <w:locked/>
    <w:rPr>
      <w:rFonts w:ascii="Calibri" w:eastAsia="Calibri" w:hAnsi="Calibri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Н.А.</dc:creator>
  <cp:lastModifiedBy>Кургак</cp:lastModifiedBy>
  <cp:revision>9</cp:revision>
  <cp:lastPrinted>2025-12-16T16:58:00Z</cp:lastPrinted>
  <dcterms:created xsi:type="dcterms:W3CDTF">2025-12-24T07:38:00Z</dcterms:created>
  <dcterms:modified xsi:type="dcterms:W3CDTF">2025-12-29T12:02:00Z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D708572C2D47487BB6A216C6C4D54B15_12</vt:lpwstr>
  </property>
</Properties>
</file>